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42" w:type="dxa"/>
        <w:tblBorders>
          <w:insideH w:val="single" w:sz="4" w:space="0" w:color="auto"/>
        </w:tblBorders>
        <w:tblLook w:val="01E0" w:firstRow="1" w:lastRow="1" w:firstColumn="1" w:lastColumn="1" w:noHBand="0" w:noVBand="0"/>
      </w:tblPr>
      <w:tblGrid>
        <w:gridCol w:w="4500"/>
        <w:gridCol w:w="5760"/>
      </w:tblGrid>
      <w:tr w:rsidR="00EA5C2A" w:rsidRPr="009527F8" w:rsidTr="000A22C8">
        <w:tc>
          <w:tcPr>
            <w:tcW w:w="4500" w:type="dxa"/>
            <w:shd w:val="clear" w:color="auto" w:fill="auto"/>
          </w:tcPr>
          <w:p w:rsidR="00EA5C2A" w:rsidRPr="009527F8" w:rsidRDefault="00EA5C2A" w:rsidP="000A22C8">
            <w:pPr>
              <w:jc w:val="center"/>
              <w:rPr>
                <w:b/>
                <w:sz w:val="26"/>
                <w:szCs w:val="26"/>
                <w:lang w:val="en-US" w:eastAsia="en-US"/>
              </w:rPr>
            </w:pPr>
            <w:r w:rsidRPr="009527F8">
              <w:rPr>
                <w:b/>
                <w:sz w:val="26"/>
                <w:szCs w:val="26"/>
                <w:lang w:val="en-US" w:eastAsia="en-US"/>
              </w:rPr>
              <w:t>ỦY BAN NHÂN DÂN</w:t>
            </w:r>
          </w:p>
          <w:p w:rsidR="00EA5C2A" w:rsidRPr="009527F8" w:rsidRDefault="00EA5C2A" w:rsidP="000A22C8">
            <w:pPr>
              <w:jc w:val="center"/>
              <w:rPr>
                <w:b/>
                <w:sz w:val="26"/>
                <w:szCs w:val="26"/>
                <w:lang w:val="en-US" w:eastAsia="en-US"/>
              </w:rPr>
            </w:pPr>
            <w:r w:rsidRPr="009527F8">
              <w:rPr>
                <w:b/>
                <w:sz w:val="26"/>
                <w:szCs w:val="26"/>
                <w:lang w:val="en-US" w:eastAsia="en-US"/>
              </w:rPr>
              <w:t>TỈNH KHÁNH HÒA</w:t>
            </w:r>
          </w:p>
          <w:p w:rsidR="00EA5C2A" w:rsidRPr="009527F8" w:rsidRDefault="00EA5C2A" w:rsidP="000A22C8">
            <w:pPr>
              <w:jc w:val="center"/>
              <w:rPr>
                <w:b/>
                <w:sz w:val="26"/>
                <w:szCs w:val="26"/>
                <w:lang w:val="en-US" w:eastAsia="en-US"/>
              </w:rPr>
            </w:pPr>
            <w:r w:rsidRPr="009527F8">
              <w:rPr>
                <w:noProof/>
                <w:lang w:val="en-US" w:eastAsia="en-US"/>
              </w:rPr>
              <mc:AlternateContent>
                <mc:Choice Requires="wps">
                  <w:drawing>
                    <wp:anchor distT="4294967295" distB="4294967295" distL="114300" distR="114300" simplePos="0" relativeHeight="251659264" behindDoc="0" locked="0" layoutInCell="1" allowOverlap="1" wp14:anchorId="43FD9C51" wp14:editId="7362A358">
                      <wp:simplePos x="0" y="0"/>
                      <wp:positionH relativeFrom="column">
                        <wp:posOffset>984514</wp:posOffset>
                      </wp:positionH>
                      <wp:positionV relativeFrom="paragraph">
                        <wp:posOffset>23495</wp:posOffset>
                      </wp:positionV>
                      <wp:extent cx="629285" cy="0"/>
                      <wp:effectExtent l="0" t="0" r="3746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pt,1.85pt" to="127.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HAIAADU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"/>
                  </w:pict>
                </mc:Fallback>
              </mc:AlternateContent>
            </w:r>
          </w:p>
          <w:p w:rsidR="00EA5C2A" w:rsidRPr="009527F8" w:rsidRDefault="00EA5C2A" w:rsidP="000A22C8">
            <w:pPr>
              <w:jc w:val="center"/>
              <w:rPr>
                <w:sz w:val="26"/>
                <w:szCs w:val="26"/>
                <w:lang w:val="en-US" w:eastAsia="en-US"/>
              </w:rPr>
            </w:pPr>
            <w:r>
              <w:rPr>
                <w:sz w:val="26"/>
                <w:szCs w:val="26"/>
                <w:lang w:val="en-US" w:eastAsia="en-US"/>
              </w:rPr>
              <w:t>Số:           /2019/QĐ–</w:t>
            </w:r>
            <w:r w:rsidRPr="009527F8">
              <w:rPr>
                <w:sz w:val="26"/>
                <w:szCs w:val="26"/>
                <w:lang w:val="en-US" w:eastAsia="en-US"/>
              </w:rPr>
              <w:t xml:space="preserve">UBND </w:t>
            </w:r>
          </w:p>
          <w:p w:rsidR="00EA5C2A" w:rsidRPr="004E0AED" w:rsidRDefault="00EA5C2A" w:rsidP="000A22C8">
            <w:pPr>
              <w:rPr>
                <w:b/>
                <w:color w:val="FFFFFF" w:themeColor="background1"/>
                <w:sz w:val="26"/>
                <w:szCs w:val="26"/>
                <w:lang w:val="en-US" w:eastAsia="en-US"/>
              </w:rPr>
            </w:pPr>
            <w:r>
              <w:rPr>
                <w:b/>
                <w:noProof/>
                <w:color w:val="FFFFFF" w:themeColor="background1"/>
                <w:sz w:val="26"/>
                <w:szCs w:val="26"/>
                <w:lang w:val="en-US" w:eastAsia="en-US"/>
              </w:rPr>
              <mc:AlternateContent>
                <mc:Choice Requires="wps">
                  <w:drawing>
                    <wp:anchor distT="0" distB="0" distL="114300" distR="114300" simplePos="0" relativeHeight="251662336" behindDoc="0" locked="0" layoutInCell="1" allowOverlap="1" wp14:anchorId="2A215198" wp14:editId="5B43F9FA">
                      <wp:simplePos x="0" y="0"/>
                      <wp:positionH relativeFrom="column">
                        <wp:posOffset>887095</wp:posOffset>
                      </wp:positionH>
                      <wp:positionV relativeFrom="paragraph">
                        <wp:posOffset>124348</wp:posOffset>
                      </wp:positionV>
                      <wp:extent cx="1185705" cy="422031"/>
                      <wp:effectExtent l="0" t="0" r="14605" b="16510"/>
                      <wp:wrapNone/>
                      <wp:docPr id="4" name="Rectangle 4"/>
                      <wp:cNvGraphicFramePr/>
                      <a:graphic xmlns:a="http://schemas.openxmlformats.org/drawingml/2006/main">
                        <a:graphicData uri="http://schemas.microsoft.com/office/word/2010/wordprocessingShape">
                          <wps:wsp>
                            <wps:cNvSpPr/>
                            <wps:spPr>
                              <a:xfrm>
                                <a:off x="0" y="0"/>
                                <a:ext cx="1185705" cy="422031"/>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5C2A" w:rsidRPr="00EA5C2A" w:rsidRDefault="00EA5C2A" w:rsidP="00EA5C2A">
                                  <w:pPr>
                                    <w:jc w:val="center"/>
                                    <w:rPr>
                                      <w:lang w:val="en-US"/>
                                    </w:rPr>
                                  </w:pPr>
                                  <w:r w:rsidRPr="00EA5C2A">
                                    <w:rPr>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69.85pt;margin-top:9.8pt;width:93.35pt;height:3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" fillcolor="white [3201]" strokecolor="#4f81bd [3204]" strokeweight="2pt">
                      <v:textbox>
                        <w:txbxContent>
                          <w:p w:rsidR="00EA5C2A" w:rsidRPr="00EA5C2A" w:rsidRDefault="00EA5C2A" w:rsidP="00EA5C2A">
                            <w:pPr>
                              <w:jc w:val="center"/>
                              <w:rPr>
                                <w:lang w:val="en-US"/>
                              </w:rPr>
                            </w:pPr>
                            <w:r w:rsidRPr="00EA5C2A">
                              <w:rPr>
                                <w:lang w:val="en-US"/>
                              </w:rPr>
                              <w:t>DỰ THẢO</w:t>
                            </w:r>
                          </w:p>
                        </w:txbxContent>
                      </v:textbox>
                    </v:rect>
                  </w:pict>
                </mc:Fallback>
              </mc:AlternateContent>
            </w:r>
          </w:p>
        </w:tc>
        <w:tc>
          <w:tcPr>
            <w:tcW w:w="5760" w:type="dxa"/>
            <w:shd w:val="clear" w:color="auto" w:fill="auto"/>
          </w:tcPr>
          <w:p w:rsidR="00EA5C2A" w:rsidRPr="009527F8" w:rsidRDefault="00EA5C2A" w:rsidP="000A22C8">
            <w:pPr>
              <w:jc w:val="center"/>
              <w:rPr>
                <w:b/>
                <w:sz w:val="26"/>
                <w:szCs w:val="26"/>
                <w:lang w:val="en-US" w:eastAsia="en-US"/>
              </w:rPr>
            </w:pPr>
            <w:r w:rsidRPr="009527F8">
              <w:rPr>
                <w:b/>
                <w:sz w:val="26"/>
                <w:szCs w:val="26"/>
                <w:lang w:val="en-US" w:eastAsia="en-US"/>
              </w:rPr>
              <w:t xml:space="preserve">CỘNG HÒA XÃ </w:t>
            </w:r>
            <w:r>
              <w:rPr>
                <w:b/>
                <w:sz w:val="26"/>
                <w:szCs w:val="26"/>
                <w:lang w:val="en-US" w:eastAsia="en-US"/>
              </w:rPr>
              <w:t xml:space="preserve">HỘI </w:t>
            </w:r>
            <w:r w:rsidRPr="009527F8">
              <w:rPr>
                <w:b/>
                <w:sz w:val="26"/>
                <w:szCs w:val="26"/>
                <w:lang w:val="en-US" w:eastAsia="en-US"/>
              </w:rPr>
              <w:t>CHỦ NGHĨA VIỆT NAM</w:t>
            </w:r>
          </w:p>
          <w:p w:rsidR="00EA5C2A" w:rsidRPr="009527F8" w:rsidRDefault="00EA5C2A" w:rsidP="000A22C8">
            <w:pPr>
              <w:jc w:val="center"/>
              <w:rPr>
                <w:b/>
                <w:lang w:val="en-US" w:eastAsia="en-US"/>
              </w:rPr>
            </w:pPr>
            <w:r w:rsidRPr="009527F8">
              <w:rPr>
                <w:b/>
                <w:lang w:val="en-US" w:eastAsia="en-US"/>
              </w:rPr>
              <w:t>Độc lập - Tự do - Hạnh phúc</w:t>
            </w:r>
          </w:p>
          <w:p w:rsidR="00EA5C2A" w:rsidRPr="009527F8" w:rsidRDefault="00EA5C2A" w:rsidP="000A22C8">
            <w:pPr>
              <w:jc w:val="center"/>
              <w:rPr>
                <w:b/>
                <w:lang w:val="en-US" w:eastAsia="en-US"/>
              </w:rPr>
            </w:pPr>
            <w:r w:rsidRPr="009527F8">
              <w:rPr>
                <w:noProof/>
                <w:lang w:val="en-US" w:eastAsia="en-US"/>
              </w:rPr>
              <mc:AlternateContent>
                <mc:Choice Requires="wps">
                  <w:drawing>
                    <wp:anchor distT="0" distB="0" distL="114300" distR="114300" simplePos="0" relativeHeight="251660288" behindDoc="0" locked="0" layoutInCell="1" allowOverlap="1" wp14:anchorId="59D9C9C7" wp14:editId="131ECEF5">
                      <wp:simplePos x="0" y="0"/>
                      <wp:positionH relativeFrom="column">
                        <wp:posOffset>632460</wp:posOffset>
                      </wp:positionH>
                      <wp:positionV relativeFrom="paragraph">
                        <wp:posOffset>36195</wp:posOffset>
                      </wp:positionV>
                      <wp:extent cx="22002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85pt" to="223.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"/>
                  </w:pict>
                </mc:Fallback>
              </mc:AlternateContent>
            </w:r>
          </w:p>
          <w:p w:rsidR="00EA5C2A" w:rsidRPr="009527F8" w:rsidRDefault="00EA5C2A" w:rsidP="00526913">
            <w:pPr>
              <w:jc w:val="center"/>
              <w:rPr>
                <w:i/>
                <w:sz w:val="26"/>
                <w:szCs w:val="26"/>
                <w:lang w:val="en-US" w:eastAsia="en-US"/>
              </w:rPr>
            </w:pPr>
            <w:r w:rsidRPr="009527F8">
              <w:rPr>
                <w:i/>
                <w:lang w:val="en-US" w:eastAsia="en-US"/>
              </w:rPr>
              <w:t xml:space="preserve">Khánh Hòa, ngày        tháng </w:t>
            </w:r>
            <w:r w:rsidR="001D7259">
              <w:rPr>
                <w:i/>
                <w:lang w:val="en-US" w:eastAsia="en-US"/>
              </w:rPr>
              <w:t xml:space="preserve"> </w:t>
            </w:r>
            <w:r w:rsidR="00526913">
              <w:rPr>
                <w:i/>
                <w:lang w:val="en-US" w:eastAsia="en-US"/>
              </w:rPr>
              <w:t xml:space="preserve"> </w:t>
            </w:r>
            <w:r w:rsidRPr="009527F8">
              <w:rPr>
                <w:i/>
                <w:lang w:val="en-US" w:eastAsia="en-US"/>
              </w:rPr>
              <w:t xml:space="preserve"> </w:t>
            </w:r>
            <w:r w:rsidR="001D7259">
              <w:rPr>
                <w:i/>
                <w:lang w:val="en-US" w:eastAsia="en-US"/>
              </w:rPr>
              <w:t xml:space="preserve"> </w:t>
            </w:r>
            <w:r w:rsidRPr="009527F8">
              <w:rPr>
                <w:i/>
                <w:lang w:val="en-US" w:eastAsia="en-US"/>
              </w:rPr>
              <w:t>năm 201</w:t>
            </w:r>
            <w:r>
              <w:rPr>
                <w:i/>
                <w:lang w:val="en-US" w:eastAsia="en-US"/>
              </w:rPr>
              <w:t>9</w:t>
            </w:r>
          </w:p>
        </w:tc>
      </w:tr>
    </w:tbl>
    <w:p w:rsidR="00EA5C2A" w:rsidRDefault="00EA5C2A" w:rsidP="00EA5C2A">
      <w:pPr>
        <w:tabs>
          <w:tab w:val="left" w:pos="823"/>
        </w:tabs>
        <w:rPr>
          <w:b/>
          <w:sz w:val="30"/>
        </w:rPr>
      </w:pPr>
      <w:r>
        <w:rPr>
          <w:b/>
          <w:sz w:val="30"/>
        </w:rPr>
        <w:tab/>
      </w:r>
    </w:p>
    <w:p w:rsidR="00CE20BB" w:rsidRPr="00A32310" w:rsidRDefault="00CE20BB" w:rsidP="001D7259">
      <w:pPr>
        <w:spacing w:before="60" w:after="60" w:line="28" w:lineRule="atLeast"/>
        <w:ind w:firstLine="737"/>
        <w:jc w:val="center"/>
        <w:rPr>
          <w:rFonts w:ascii="Times New Roman Bold" w:hAnsi="Times New Roman Bold"/>
          <w:b/>
          <w:spacing w:val="-2"/>
          <w:lang w:val="nb-NO" w:eastAsia="en-US"/>
        </w:rPr>
      </w:pPr>
      <w:r w:rsidRPr="00A32310">
        <w:rPr>
          <w:rFonts w:ascii="Times New Roman Bold" w:hAnsi="Times New Roman Bold"/>
          <w:b/>
          <w:spacing w:val="-2"/>
          <w:lang w:val="nb-NO" w:eastAsia="en-US"/>
        </w:rPr>
        <w:t>QUYẾT ĐỊNH</w:t>
      </w:r>
    </w:p>
    <w:p w:rsidR="00CE20BB" w:rsidRPr="00CE20BB" w:rsidRDefault="00CE20BB" w:rsidP="001D7259">
      <w:pPr>
        <w:spacing w:before="60" w:after="60" w:line="28" w:lineRule="atLeast"/>
        <w:ind w:firstLine="737"/>
        <w:jc w:val="center"/>
        <w:rPr>
          <w:rFonts w:ascii="Times New Roman Bold" w:hAnsi="Times New Roman Bold"/>
          <w:b/>
          <w:spacing w:val="-2"/>
          <w:lang w:val="nb-NO" w:eastAsia="en-US"/>
        </w:rPr>
      </w:pPr>
      <w:r w:rsidRPr="00CE20BB">
        <w:rPr>
          <w:rFonts w:ascii="Times New Roman Bold" w:hAnsi="Times New Roman Bold"/>
          <w:b/>
          <w:spacing w:val="-2"/>
          <w:lang w:val="nb-NO" w:eastAsia="en-US"/>
        </w:rPr>
        <w:t xml:space="preserve">Về việc quy định mức chi hỗ trợ </w:t>
      </w:r>
      <w:r w:rsidR="00CF220A">
        <w:rPr>
          <w:rFonts w:ascii="Times New Roman Bold" w:hAnsi="Times New Roman Bold"/>
          <w:b/>
          <w:spacing w:val="-2"/>
          <w:lang w:val="nb-NO" w:eastAsia="en-US"/>
        </w:rPr>
        <w:t xml:space="preserve">cho </w:t>
      </w:r>
      <w:r w:rsidRPr="00CE20BB">
        <w:rPr>
          <w:rFonts w:ascii="Times New Roman Bold" w:hAnsi="Times New Roman Bold"/>
          <w:b/>
          <w:spacing w:val="-2"/>
          <w:lang w:val="nb-NO" w:eastAsia="en-US"/>
        </w:rPr>
        <w:t>cán bộ xã, phường, thị trấn theo dõi, quản lý đối tượng cai nghiện ma túy tự nguyện tại gia đình và cộng đồng</w:t>
      </w:r>
    </w:p>
    <w:p w:rsidR="00CE20BB" w:rsidRPr="00CE20BB" w:rsidRDefault="00CE20BB" w:rsidP="001D7259">
      <w:pPr>
        <w:spacing w:before="60" w:after="60" w:line="28" w:lineRule="atLeast"/>
        <w:ind w:firstLine="737"/>
        <w:jc w:val="center"/>
        <w:rPr>
          <w:rFonts w:ascii="Times New Roman Bold" w:hAnsi="Times New Roman Bold"/>
          <w:b/>
          <w:spacing w:val="-2"/>
          <w:lang w:val="nb-NO" w:eastAsia="en-US"/>
        </w:rPr>
      </w:pPr>
      <w:r w:rsidRPr="00CE20BB">
        <w:rPr>
          <w:rFonts w:ascii="Times New Roman Bold" w:hAnsi="Times New Roman Bold"/>
          <w:b/>
          <w:spacing w:val="-2"/>
          <w:lang w:val="nb-NO" w:eastAsia="en-US"/>
        </w:rPr>
        <w:t>trên địa bàn tỉnh Khánh Hòa</w:t>
      </w:r>
    </w:p>
    <w:p w:rsidR="00CE20BB" w:rsidRPr="00CE20BB" w:rsidRDefault="001D7259" w:rsidP="001D7259">
      <w:pPr>
        <w:spacing w:before="60" w:after="60" w:line="28" w:lineRule="atLeast"/>
        <w:ind w:firstLine="737"/>
        <w:jc w:val="center"/>
        <w:rPr>
          <w:spacing w:val="-2"/>
          <w:lang w:val="nb-NO" w:eastAsia="en-US"/>
        </w:rPr>
      </w:pPr>
      <w:r w:rsidRPr="00CE20BB">
        <w:rPr>
          <w:rFonts w:ascii="Times New Roman Bold" w:hAnsi="Times New Roman Bold"/>
          <w:b/>
          <w:noProof/>
          <w:spacing w:val="-2"/>
          <w:lang w:val="en-US" w:eastAsia="en-US"/>
        </w:rPr>
        <mc:AlternateContent>
          <mc:Choice Requires="wps">
            <w:drawing>
              <wp:anchor distT="0" distB="0" distL="114300" distR="114300" simplePos="0" relativeHeight="251664384" behindDoc="0" locked="0" layoutInCell="1" allowOverlap="1" wp14:anchorId="39092BA3" wp14:editId="2FDBCEFA">
                <wp:simplePos x="0" y="0"/>
                <wp:positionH relativeFrom="column">
                  <wp:posOffset>2552065</wp:posOffset>
                </wp:positionH>
                <wp:positionV relativeFrom="paragraph">
                  <wp:posOffset>2540</wp:posOffset>
                </wp:positionV>
                <wp:extent cx="11557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2pt" to="29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"/>
            </w:pict>
          </mc:Fallback>
        </mc:AlternateContent>
      </w:r>
      <w:r w:rsidR="00CE20BB" w:rsidRPr="00CE20BB">
        <w:rPr>
          <w:rFonts w:ascii="Times New Roman Bold" w:hAnsi="Times New Roman Bold"/>
          <w:b/>
          <w:spacing w:val="-2"/>
          <w:lang w:val="nb-NO" w:eastAsia="en-US"/>
        </w:rPr>
        <w:t xml:space="preserve">   </w:t>
      </w:r>
      <w:r w:rsidR="00CE20BB" w:rsidRPr="00CE20BB">
        <w:rPr>
          <w:b/>
          <w:spacing w:val="-2"/>
          <w:lang w:val="nb-NO" w:eastAsia="en-US"/>
        </w:rPr>
        <w:t xml:space="preserve">  </w:t>
      </w:r>
    </w:p>
    <w:p w:rsidR="00CE20BB" w:rsidRDefault="00CE20BB" w:rsidP="001D7259">
      <w:pPr>
        <w:widowControl w:val="0"/>
        <w:spacing w:before="60" w:after="60" w:line="28" w:lineRule="atLeast"/>
        <w:ind w:firstLine="737"/>
        <w:jc w:val="center"/>
        <w:rPr>
          <w:b/>
          <w:iCs/>
          <w:lang w:val="en-US" w:eastAsia="en-US"/>
        </w:rPr>
      </w:pPr>
      <w:r w:rsidRPr="00CE20BB">
        <w:rPr>
          <w:b/>
          <w:iCs/>
          <w:lang w:val="en-US" w:eastAsia="en-US"/>
        </w:rPr>
        <w:t>ỦY BAN NHÂN DÂN TỈNH KHÁNH HÒA</w:t>
      </w:r>
    </w:p>
    <w:p w:rsidR="00CE20BB" w:rsidRPr="00CE20BB" w:rsidRDefault="00CE20BB" w:rsidP="001D7259">
      <w:pPr>
        <w:widowControl w:val="0"/>
        <w:spacing w:before="60" w:after="60" w:line="28" w:lineRule="atLeast"/>
        <w:ind w:firstLine="737"/>
        <w:jc w:val="center"/>
        <w:rPr>
          <w:b/>
          <w:iCs/>
          <w:lang w:val="en-US" w:eastAsia="en-US"/>
        </w:rPr>
      </w:pPr>
      <w:bookmarkStart w:id="0" w:name="_GoBack"/>
      <w:bookmarkEnd w:id="0"/>
    </w:p>
    <w:p w:rsidR="00CE20BB" w:rsidRPr="00CE20BB" w:rsidRDefault="00CE20BB" w:rsidP="001D7259">
      <w:pPr>
        <w:widowControl w:val="0"/>
        <w:spacing w:before="60" w:after="60" w:line="28" w:lineRule="atLeast"/>
        <w:ind w:firstLine="737"/>
        <w:jc w:val="center"/>
        <w:rPr>
          <w:b/>
          <w:iCs/>
          <w:sz w:val="4"/>
          <w:szCs w:val="4"/>
          <w:lang w:val="en-US" w:eastAsia="en-US"/>
        </w:rPr>
      </w:pPr>
    </w:p>
    <w:p w:rsidR="00CE20BB" w:rsidRPr="001D7259" w:rsidRDefault="00CE20BB" w:rsidP="001D7259">
      <w:pPr>
        <w:widowControl w:val="0"/>
        <w:spacing w:before="60" w:after="60" w:line="28" w:lineRule="atLeast"/>
        <w:ind w:firstLine="737"/>
        <w:jc w:val="both"/>
        <w:rPr>
          <w:i/>
          <w:spacing w:val="-6"/>
          <w:lang w:val="nb-NO" w:eastAsia="en-US"/>
        </w:rPr>
      </w:pPr>
      <w:r w:rsidRPr="00CE20BB">
        <w:rPr>
          <w:i/>
          <w:spacing w:val="-6"/>
          <w:lang w:val="nb-NO" w:eastAsia="en-US"/>
        </w:rPr>
        <w:t>Căn cứ Luật Tổ chức chính quyền địa phương ngày 19 tháng 6 năm 2015;</w:t>
      </w:r>
    </w:p>
    <w:p w:rsidR="00CE20BB" w:rsidRDefault="00CE20BB" w:rsidP="001D7259">
      <w:pPr>
        <w:widowControl w:val="0"/>
        <w:spacing w:before="60" w:after="60" w:line="28" w:lineRule="atLeast"/>
        <w:ind w:firstLine="737"/>
        <w:jc w:val="both"/>
        <w:rPr>
          <w:i/>
          <w:spacing w:val="2"/>
          <w:lang w:val="nb-NO" w:eastAsia="en-US"/>
        </w:rPr>
      </w:pPr>
      <w:r w:rsidRPr="00CE20BB">
        <w:rPr>
          <w:i/>
          <w:spacing w:val="8"/>
          <w:lang w:val="nb-NO" w:eastAsia="en-US"/>
        </w:rPr>
        <w:t>Căn cứ Luật Ban hành văn bản quy phạm pháp luật ngày 22 tháng 6 năm 2015;</w:t>
      </w:r>
    </w:p>
    <w:p w:rsidR="00CE20BB" w:rsidRDefault="00CE20BB" w:rsidP="001D7259">
      <w:pPr>
        <w:widowControl w:val="0"/>
        <w:spacing w:before="60" w:after="60" w:line="28" w:lineRule="atLeast"/>
        <w:ind w:firstLine="737"/>
        <w:jc w:val="both"/>
        <w:rPr>
          <w:i/>
          <w:spacing w:val="-6"/>
          <w:lang w:val="nb-NO" w:eastAsia="en-US"/>
        </w:rPr>
      </w:pPr>
      <w:r w:rsidRPr="00CE20BB">
        <w:rPr>
          <w:i/>
          <w:spacing w:val="8"/>
          <w:lang w:val="nb-NO" w:eastAsia="en-US"/>
        </w:rPr>
        <w:t xml:space="preserve">Căn cứ </w:t>
      </w:r>
      <w:r w:rsidRPr="00CE20BB">
        <w:rPr>
          <w:i/>
          <w:lang w:val="en-US" w:eastAsia="en-US"/>
        </w:rPr>
        <w:t xml:space="preserve">Luật phòng, chống ma túy ngày 09 tháng 12 năm 2000; Luật sửa </w:t>
      </w:r>
      <w:r w:rsidRPr="00CE20BB">
        <w:rPr>
          <w:i/>
          <w:spacing w:val="-6"/>
          <w:lang w:val="en-US" w:eastAsia="en-US"/>
        </w:rPr>
        <w:t>đổi, bổ sung một số điều của Luật, phòng chống ma túy ngày 03 tháng 6 năm 2008;</w:t>
      </w:r>
    </w:p>
    <w:p w:rsidR="00CE20BB" w:rsidRDefault="00CE20BB" w:rsidP="001D7259">
      <w:pPr>
        <w:widowControl w:val="0"/>
        <w:spacing w:before="60" w:after="60" w:line="28" w:lineRule="atLeast"/>
        <w:ind w:firstLine="737"/>
        <w:jc w:val="both"/>
        <w:rPr>
          <w:i/>
          <w:spacing w:val="-6"/>
          <w:lang w:val="nb-NO" w:eastAsia="en-US"/>
        </w:rPr>
      </w:pPr>
      <w:r w:rsidRPr="00CE20BB">
        <w:rPr>
          <w:i/>
          <w:lang w:val="en-US" w:eastAsia="en-US"/>
        </w:rPr>
        <w:t xml:space="preserve">Căn cứ Nghị định số 94/2010/NĐ– CP ngày 09 tháng 9 năm 2010 của Chính phủ quy định về tổ chức </w:t>
      </w:r>
      <w:proofErr w:type="gramStart"/>
      <w:r w:rsidRPr="00CE20BB">
        <w:rPr>
          <w:i/>
          <w:lang w:val="en-US" w:eastAsia="en-US"/>
        </w:rPr>
        <w:t>cai</w:t>
      </w:r>
      <w:proofErr w:type="gramEnd"/>
      <w:r w:rsidRPr="00CE20BB">
        <w:rPr>
          <w:i/>
          <w:lang w:val="en-US" w:eastAsia="en-US"/>
        </w:rPr>
        <w:t xml:space="preserve"> nghiện ma túy tại gia đình và cai nghiện ma túy tại cộng đồng;</w:t>
      </w:r>
    </w:p>
    <w:p w:rsidR="00CE20BB" w:rsidRDefault="00CE20BB" w:rsidP="001D7259">
      <w:pPr>
        <w:widowControl w:val="0"/>
        <w:spacing w:before="60" w:after="60" w:line="28" w:lineRule="atLeast"/>
        <w:ind w:firstLine="737"/>
        <w:jc w:val="both"/>
        <w:rPr>
          <w:i/>
          <w:spacing w:val="-6"/>
          <w:lang w:val="nb-NO" w:eastAsia="en-US"/>
        </w:rPr>
      </w:pPr>
      <w:r w:rsidRPr="00CE20BB">
        <w:rPr>
          <w:i/>
          <w:lang w:val="en-US" w:eastAsia="en-US"/>
        </w:rPr>
        <w:t xml:space="preserve">Căn cứ Thông tư liên tịch số 03/2012/TTLT–BLĐTBXH –BYT – </w:t>
      </w:r>
      <w:proofErr w:type="gramStart"/>
      <w:r w:rsidRPr="00CE20BB">
        <w:rPr>
          <w:i/>
          <w:lang w:val="en-US" w:eastAsia="en-US"/>
        </w:rPr>
        <w:t>BCA  ngày</w:t>
      </w:r>
      <w:proofErr w:type="gramEnd"/>
      <w:r w:rsidRPr="00CE20BB">
        <w:rPr>
          <w:i/>
          <w:lang w:val="en-US" w:eastAsia="en-US"/>
        </w:rPr>
        <w:t xml:space="preserve"> 10/0</w:t>
      </w:r>
      <w:r w:rsidR="00CF220A">
        <w:rPr>
          <w:i/>
          <w:lang w:val="en-US" w:eastAsia="en-US"/>
        </w:rPr>
        <w:t>2/2012 của Liên bộ: Bộ Lao động–</w:t>
      </w:r>
      <w:r w:rsidRPr="00CE20BB">
        <w:rPr>
          <w:i/>
          <w:lang w:val="en-US" w:eastAsia="en-US"/>
        </w:rPr>
        <w:t>Thương binh và Xã hội, Bộ Y tế, Bộ Công an quy định chi tiết và hướng dẫn thi hành một số điều của Nghị định số 94/2010/NĐ-CP ngày 09/9/2010 của Chính phủ quy định về tổ chức cai nghiện ma túy tại gia đình, cai nghiện ma túy tại cộng đồng;</w:t>
      </w:r>
    </w:p>
    <w:p w:rsidR="00CE20BB" w:rsidRDefault="00CF220A" w:rsidP="001D7259">
      <w:pPr>
        <w:widowControl w:val="0"/>
        <w:spacing w:before="60" w:after="60" w:line="28" w:lineRule="atLeast"/>
        <w:ind w:firstLine="737"/>
        <w:jc w:val="both"/>
        <w:rPr>
          <w:i/>
          <w:spacing w:val="-6"/>
          <w:lang w:val="nb-NO" w:eastAsia="en-US"/>
        </w:rPr>
      </w:pPr>
      <w:r>
        <w:rPr>
          <w:i/>
          <w:lang w:val="en-US" w:eastAsia="en-US"/>
        </w:rPr>
        <w:t xml:space="preserve">Căn cứ Thông tư </w:t>
      </w:r>
      <w:r w:rsidR="00CE20BB" w:rsidRPr="00CE20BB">
        <w:rPr>
          <w:rFonts w:eastAsiaTheme="minorHAnsi" w:cstheme="minorBidi"/>
          <w:i/>
          <w:szCs w:val="22"/>
          <w:lang w:val="en-US" w:eastAsia="en-US"/>
        </w:rPr>
        <w:t xml:space="preserve">số 124/2018/TT–BTC ngày 20/12/2018 của Bộ Tài chính </w:t>
      </w:r>
      <w:r>
        <w:rPr>
          <w:rFonts w:eastAsiaTheme="minorHAnsi" w:cstheme="minorBidi"/>
          <w:i/>
          <w:szCs w:val="22"/>
          <w:lang w:val="en-US" w:eastAsia="en-US"/>
        </w:rPr>
        <w:t>q</w:t>
      </w:r>
      <w:r w:rsidR="00CE20BB" w:rsidRPr="00CE20BB">
        <w:rPr>
          <w:rFonts w:eastAsiaTheme="minorHAnsi" w:cstheme="minorBidi"/>
          <w:i/>
          <w:szCs w:val="22"/>
          <w:lang w:val="en-US" w:eastAsia="en-US"/>
        </w:rPr>
        <w:t xml:space="preserve">uy định về quản lý, sử dụng kinh phí thực hiện hỗ trợ đối với người </w:t>
      </w:r>
      <w:proofErr w:type="gramStart"/>
      <w:r w:rsidR="00CE20BB" w:rsidRPr="00CE20BB">
        <w:rPr>
          <w:rFonts w:eastAsiaTheme="minorHAnsi" w:cstheme="minorBidi"/>
          <w:i/>
          <w:szCs w:val="22"/>
          <w:lang w:val="en-US" w:eastAsia="en-US"/>
        </w:rPr>
        <w:t>cai</w:t>
      </w:r>
      <w:proofErr w:type="gramEnd"/>
      <w:r w:rsidR="00CE20BB" w:rsidRPr="00CE20BB">
        <w:rPr>
          <w:rFonts w:eastAsiaTheme="minorHAnsi" w:cstheme="minorBidi"/>
          <w:i/>
          <w:szCs w:val="22"/>
          <w:lang w:val="en-US" w:eastAsia="en-US"/>
        </w:rPr>
        <w:t xml:space="preserve"> nghiện ma túy tự nguyện;</w:t>
      </w:r>
    </w:p>
    <w:p w:rsidR="00CE20BB" w:rsidRPr="00CE20BB" w:rsidRDefault="00CE20BB" w:rsidP="001D7259">
      <w:pPr>
        <w:widowControl w:val="0"/>
        <w:spacing w:before="60" w:after="60" w:line="28" w:lineRule="atLeast"/>
        <w:ind w:firstLine="737"/>
        <w:jc w:val="both"/>
        <w:rPr>
          <w:i/>
          <w:spacing w:val="-6"/>
          <w:lang w:val="nb-NO" w:eastAsia="en-US"/>
        </w:rPr>
      </w:pPr>
      <w:r w:rsidRPr="00CE20BB">
        <w:rPr>
          <w:i/>
          <w:lang w:val="nb-NO" w:eastAsia="en-US"/>
        </w:rPr>
        <w:t xml:space="preserve">Theo đề nghị của Giám đốc Sở Lao động – Thương binh và Xã hội tại Tờ trình số       /TTr-SLĐTBXH  ngày     tháng      </w:t>
      </w:r>
      <w:r w:rsidR="00A67BFB">
        <w:rPr>
          <w:i/>
          <w:lang w:val="nb-NO" w:eastAsia="en-US"/>
        </w:rPr>
        <w:t>năm 2019,</w:t>
      </w:r>
      <w:r w:rsidR="00CD1AFC">
        <w:rPr>
          <w:i/>
          <w:lang w:val="nb-NO" w:eastAsia="en-US"/>
        </w:rPr>
        <w:t xml:space="preserve"> ý kiến của Giám đốc Sở Tài chính tại Công văn số      /STC-HCSN ngày     tháng      năm 2019,</w:t>
      </w:r>
    </w:p>
    <w:p w:rsidR="001D7259" w:rsidRDefault="001D7259" w:rsidP="001D7259">
      <w:pPr>
        <w:widowControl w:val="0"/>
        <w:spacing w:before="60" w:after="60" w:line="28" w:lineRule="atLeast"/>
        <w:ind w:firstLine="737"/>
        <w:jc w:val="center"/>
        <w:rPr>
          <w:b/>
          <w:spacing w:val="2"/>
          <w:lang w:val="nb-NO" w:eastAsia="en-US"/>
        </w:rPr>
      </w:pPr>
    </w:p>
    <w:p w:rsidR="00CE20BB" w:rsidRPr="00CE20BB" w:rsidRDefault="00CE20BB" w:rsidP="00CF220A">
      <w:pPr>
        <w:widowControl w:val="0"/>
        <w:spacing w:before="60" w:after="60" w:line="28" w:lineRule="atLeast"/>
        <w:jc w:val="center"/>
        <w:rPr>
          <w:b/>
          <w:spacing w:val="2"/>
          <w:lang w:val="nb-NO" w:eastAsia="en-US"/>
        </w:rPr>
      </w:pPr>
      <w:r w:rsidRPr="00CE20BB">
        <w:rPr>
          <w:b/>
          <w:spacing w:val="2"/>
          <w:lang w:val="nb-NO" w:eastAsia="en-US"/>
        </w:rPr>
        <w:t>QUYẾT ĐỊNH:</w:t>
      </w:r>
    </w:p>
    <w:p w:rsidR="00CE20BB" w:rsidRDefault="00CE20BB" w:rsidP="001D7259">
      <w:pPr>
        <w:widowControl w:val="0"/>
        <w:spacing w:before="60" w:after="60" w:line="28" w:lineRule="atLeast"/>
        <w:ind w:firstLine="737"/>
        <w:jc w:val="both"/>
        <w:rPr>
          <w:b/>
          <w:spacing w:val="2"/>
          <w:lang w:val="nb-NO" w:eastAsia="en-US"/>
        </w:rPr>
      </w:pPr>
    </w:p>
    <w:p w:rsidR="00CE20BB" w:rsidRDefault="00CE20BB" w:rsidP="001D7259">
      <w:pPr>
        <w:widowControl w:val="0"/>
        <w:spacing w:before="60" w:after="60" w:line="28" w:lineRule="atLeast"/>
        <w:ind w:firstLine="737"/>
        <w:jc w:val="both"/>
        <w:rPr>
          <w:b/>
          <w:spacing w:val="2"/>
          <w:lang w:val="nb-NO" w:eastAsia="en-US"/>
        </w:rPr>
      </w:pPr>
      <w:r w:rsidRPr="00CE20BB">
        <w:rPr>
          <w:b/>
          <w:spacing w:val="2"/>
          <w:lang w:val="nb-NO" w:eastAsia="en-US"/>
        </w:rPr>
        <w:t xml:space="preserve">Điều 1. </w:t>
      </w:r>
      <w:r w:rsidRPr="00CE20BB">
        <w:rPr>
          <w:spacing w:val="2"/>
          <w:lang w:val="nb-NO" w:eastAsia="en-US"/>
        </w:rPr>
        <w:t>Phạm vi điều chỉnh</w:t>
      </w:r>
    </w:p>
    <w:p w:rsidR="00CE20BB" w:rsidRDefault="00CE20BB" w:rsidP="001D7259">
      <w:pPr>
        <w:widowControl w:val="0"/>
        <w:spacing w:before="60" w:after="60" w:line="28" w:lineRule="atLeast"/>
        <w:ind w:firstLine="737"/>
        <w:jc w:val="both"/>
        <w:rPr>
          <w:b/>
          <w:spacing w:val="2"/>
          <w:lang w:val="nb-NO" w:eastAsia="en-US"/>
        </w:rPr>
      </w:pPr>
      <w:r w:rsidRPr="00CE20BB">
        <w:rPr>
          <w:spacing w:val="2"/>
          <w:lang w:val="nb-NO" w:eastAsia="en-US"/>
        </w:rPr>
        <w:t xml:space="preserve">Quyết định này quy định mức chi hỗ trợ cho cán bộ xã, phường, thị trấn theo dõi, quản lý đối tượng cai nghiện ma túy tự nguyện tại gia đình và cộng đồng </w:t>
      </w:r>
      <w:r w:rsidR="007D3669">
        <w:rPr>
          <w:spacing w:val="2"/>
          <w:lang w:val="nb-NO" w:eastAsia="en-US"/>
        </w:rPr>
        <w:t>trên địa bàn tỉnh Khánh Hòa</w:t>
      </w:r>
      <w:r w:rsidRPr="00CE20BB">
        <w:rPr>
          <w:spacing w:val="2"/>
          <w:lang w:val="nb-NO" w:eastAsia="en-US"/>
        </w:rPr>
        <w:t xml:space="preserve">. </w:t>
      </w:r>
    </w:p>
    <w:p w:rsidR="00CE20BB" w:rsidRDefault="00CE20BB" w:rsidP="001D7259">
      <w:pPr>
        <w:widowControl w:val="0"/>
        <w:spacing w:before="60" w:after="60" w:line="28" w:lineRule="atLeast"/>
        <w:ind w:firstLine="737"/>
        <w:jc w:val="both"/>
        <w:rPr>
          <w:b/>
          <w:spacing w:val="2"/>
          <w:lang w:val="nb-NO" w:eastAsia="en-US"/>
        </w:rPr>
      </w:pPr>
      <w:r w:rsidRPr="00CE20BB">
        <w:rPr>
          <w:b/>
          <w:spacing w:val="2"/>
          <w:lang w:val="nb-NO" w:eastAsia="en-US"/>
        </w:rPr>
        <w:t xml:space="preserve">Điều 2. </w:t>
      </w:r>
      <w:r w:rsidRPr="00CE20BB">
        <w:rPr>
          <w:spacing w:val="2"/>
          <w:lang w:val="nb-NO" w:eastAsia="en-US"/>
        </w:rPr>
        <w:t>Đối tượng áp dụng</w:t>
      </w:r>
    </w:p>
    <w:p w:rsidR="00CE20BB" w:rsidRDefault="00CE20BB" w:rsidP="001D7259">
      <w:pPr>
        <w:widowControl w:val="0"/>
        <w:spacing w:before="60" w:after="60" w:line="28" w:lineRule="atLeast"/>
        <w:ind w:firstLine="737"/>
        <w:jc w:val="both"/>
        <w:rPr>
          <w:b/>
          <w:spacing w:val="2"/>
          <w:lang w:val="nb-NO" w:eastAsia="en-US"/>
        </w:rPr>
      </w:pPr>
      <w:r w:rsidRPr="00CE20BB">
        <w:rPr>
          <w:spacing w:val="-2"/>
          <w:lang w:val="nb-NO" w:eastAsia="en-US"/>
        </w:rPr>
        <w:t xml:space="preserve">Cơ quan, tổ chức và cá nhân có liên quan đến việc quản lý, sử dụng nguồn </w:t>
      </w:r>
      <w:r w:rsidRPr="00CE20BB">
        <w:rPr>
          <w:spacing w:val="-2"/>
          <w:lang w:val="nb-NO" w:eastAsia="en-US"/>
        </w:rPr>
        <w:lastRenderedPageBreak/>
        <w:t>kinh phí từ ngân sách nhà nước để thực hiện chế độ đối với người cai nghiện ma túy tự nguyện tại gia đình, cộng đồng.</w:t>
      </w:r>
    </w:p>
    <w:p w:rsidR="00CE20BB" w:rsidRDefault="00CE20BB" w:rsidP="001D7259">
      <w:pPr>
        <w:widowControl w:val="0"/>
        <w:spacing w:before="60" w:after="60" w:line="28" w:lineRule="atLeast"/>
        <w:ind w:firstLine="737"/>
        <w:jc w:val="both"/>
        <w:rPr>
          <w:b/>
          <w:spacing w:val="2"/>
          <w:lang w:val="nb-NO" w:eastAsia="en-US"/>
        </w:rPr>
      </w:pPr>
      <w:r w:rsidRPr="00CE20BB">
        <w:rPr>
          <w:b/>
          <w:spacing w:val="2"/>
          <w:lang w:val="nb-NO" w:eastAsia="en-US"/>
        </w:rPr>
        <w:t xml:space="preserve">Điều 3. </w:t>
      </w:r>
      <w:r w:rsidRPr="00CE20BB">
        <w:rPr>
          <w:spacing w:val="2"/>
          <w:lang w:val="nb-NO" w:eastAsia="en-US"/>
        </w:rPr>
        <w:t>Chi hỗ trợ cán bộ (là thành viên Tổ công tác cai nghiện ma túy</w:t>
      </w:r>
      <w:r w:rsidR="00CF220A">
        <w:rPr>
          <w:spacing w:val="2"/>
          <w:lang w:val="nb-NO" w:eastAsia="en-US"/>
        </w:rPr>
        <w:t xml:space="preserve"> tại gia đình và cộng đồng</w:t>
      </w:r>
      <w:r w:rsidRPr="00CE20BB">
        <w:rPr>
          <w:spacing w:val="2"/>
          <w:lang w:val="nb-NO" w:eastAsia="en-US"/>
        </w:rPr>
        <w:t>) xã, phường, thị trấn theo dõi, quản lý đối tượng cai nghiện ma túy tự nguyện tại gia đình và cộng đồng</w:t>
      </w:r>
      <w:r>
        <w:rPr>
          <w:spacing w:val="2"/>
          <w:lang w:val="nb-NO" w:eastAsia="en-US"/>
        </w:rPr>
        <w:t>.</w:t>
      </w:r>
    </w:p>
    <w:p w:rsidR="00CE20BB" w:rsidRDefault="00CE20BB" w:rsidP="001D7259">
      <w:pPr>
        <w:widowControl w:val="0"/>
        <w:spacing w:before="60" w:after="60" w:line="28" w:lineRule="atLeast"/>
        <w:ind w:firstLine="737"/>
        <w:jc w:val="both"/>
        <w:rPr>
          <w:b/>
          <w:spacing w:val="2"/>
          <w:lang w:val="nb-NO" w:eastAsia="en-US"/>
        </w:rPr>
      </w:pPr>
      <w:r w:rsidRPr="00CE20BB">
        <w:rPr>
          <w:spacing w:val="2"/>
          <w:lang w:val="nb-NO" w:eastAsia="en-US"/>
        </w:rPr>
        <w:t xml:space="preserve">1. Số lượng thành viên Tổ công tác cai nghiện ma túy: Mỗi Tổ công tác </w:t>
      </w:r>
      <w:r w:rsidR="00CF220A">
        <w:rPr>
          <w:spacing w:val="2"/>
          <w:lang w:val="nb-NO" w:eastAsia="en-US"/>
        </w:rPr>
        <w:t xml:space="preserve">từ 05 đến </w:t>
      </w:r>
      <w:r w:rsidRPr="00CE20BB">
        <w:rPr>
          <w:spacing w:val="2"/>
          <w:lang w:val="nb-NO" w:eastAsia="en-US"/>
        </w:rPr>
        <w:t>07 người.</w:t>
      </w:r>
    </w:p>
    <w:p w:rsidR="00CE20BB" w:rsidRDefault="00CE20BB" w:rsidP="001D7259">
      <w:pPr>
        <w:widowControl w:val="0"/>
        <w:spacing w:before="60" w:after="60" w:line="28" w:lineRule="atLeast"/>
        <w:ind w:firstLine="737"/>
        <w:jc w:val="both"/>
        <w:rPr>
          <w:b/>
          <w:spacing w:val="2"/>
          <w:lang w:val="nb-NO" w:eastAsia="en-US"/>
        </w:rPr>
      </w:pPr>
      <w:r w:rsidRPr="00CE20BB">
        <w:rPr>
          <w:spacing w:val="2"/>
          <w:lang w:val="nb-NO" w:eastAsia="en-US"/>
        </w:rPr>
        <w:t>2. Mức chi hỗ trợ cho cán bộ xã, phường, thị trấn theo dõi, quản lý đối tượng cai nghiện ma túy tự nguyện tại gia đình và cộng đồng: 350.000 đồng/người/tháng.</w:t>
      </w:r>
    </w:p>
    <w:p w:rsidR="00CE20BB" w:rsidRDefault="00CE20BB" w:rsidP="001D7259">
      <w:pPr>
        <w:widowControl w:val="0"/>
        <w:spacing w:before="60" w:after="60" w:line="28" w:lineRule="atLeast"/>
        <w:ind w:firstLine="737"/>
        <w:jc w:val="both"/>
        <w:rPr>
          <w:b/>
          <w:spacing w:val="2"/>
          <w:lang w:val="nb-NO" w:eastAsia="en-US"/>
        </w:rPr>
      </w:pPr>
      <w:r w:rsidRPr="00CE20BB">
        <w:rPr>
          <w:b/>
          <w:spacing w:val="2"/>
          <w:lang w:val="nb-NO" w:eastAsia="en-US"/>
        </w:rPr>
        <w:t xml:space="preserve">Điều 4. </w:t>
      </w:r>
      <w:r w:rsidRPr="00CE20BB">
        <w:rPr>
          <w:spacing w:val="2"/>
          <w:lang w:val="nb-NO" w:eastAsia="en-US"/>
        </w:rPr>
        <w:t>Điều khoản thi hành</w:t>
      </w:r>
    </w:p>
    <w:p w:rsidR="00CE20BB" w:rsidRDefault="00CE20BB" w:rsidP="001D7259">
      <w:pPr>
        <w:widowControl w:val="0"/>
        <w:spacing w:before="60" w:after="60" w:line="28" w:lineRule="atLeast"/>
        <w:ind w:firstLine="737"/>
        <w:jc w:val="both"/>
        <w:rPr>
          <w:b/>
          <w:spacing w:val="2"/>
          <w:lang w:val="nb-NO" w:eastAsia="en-US"/>
        </w:rPr>
      </w:pPr>
      <w:r w:rsidRPr="00CE20BB">
        <w:rPr>
          <w:spacing w:val="2"/>
          <w:lang w:val="nb-NO" w:eastAsia="en-US"/>
        </w:rPr>
        <w:t xml:space="preserve">1. Quyết định này có hiệu lực kể từ ngày     tháng      năm 2019. </w:t>
      </w:r>
      <w:r w:rsidR="00D25742">
        <w:rPr>
          <w:spacing w:val="2"/>
          <w:lang w:val="nb-NO" w:eastAsia="en-US"/>
        </w:rPr>
        <w:t xml:space="preserve">Các quy định về hoạt động của Tổ công tác theo dõi, quản lý đối tượng cai nghiện ma túy tại gia đình và cộng động tại Mục III, </w:t>
      </w:r>
      <w:r w:rsidR="00A67BFB">
        <w:rPr>
          <w:spacing w:val="2"/>
          <w:lang w:val="nb-NO" w:eastAsia="en-US"/>
        </w:rPr>
        <w:t>Q</w:t>
      </w:r>
      <w:r w:rsidR="00D25742">
        <w:rPr>
          <w:spacing w:val="2"/>
          <w:lang w:val="nb-NO" w:eastAsia="en-US"/>
        </w:rPr>
        <w:t xml:space="preserve">uy định các mức chi, mức đóng góp và chế độ miễn giảm, hỗ trợ đóng góp trong công tác cai nghiện ma túy và mức chi cho công tác tổ chức, quản lý cai nghiện ma túy ban hảnh kèm theo Quyết định số 4097/QĐ-UBND ngày 29/12/2016 của UBND tỉnh hết hiệu lực thi hành kể từ ngày Quyết định này có hiệu lực thi hành.  </w:t>
      </w:r>
    </w:p>
    <w:p w:rsidR="00CE20BB" w:rsidRDefault="00CE20BB" w:rsidP="001D7259">
      <w:pPr>
        <w:widowControl w:val="0"/>
        <w:spacing w:before="60" w:after="60" w:line="28" w:lineRule="atLeast"/>
        <w:ind w:firstLine="737"/>
        <w:jc w:val="both"/>
        <w:rPr>
          <w:b/>
          <w:spacing w:val="2"/>
          <w:lang w:val="nb-NO" w:eastAsia="en-US"/>
        </w:rPr>
      </w:pPr>
      <w:r w:rsidRPr="00CE20BB">
        <w:rPr>
          <w:spacing w:val="2"/>
          <w:lang w:val="nb-NO" w:eastAsia="en-US"/>
        </w:rPr>
        <w:t>2. Trong quá trình thực hiện, nếu phát sinh vướng mắc, các sở, ban, ngành và Ủy ban nhân dân các huyện, thị xã, thành phố kịp thời báo cáo phản ánh về Sở Tài chính để tổng hợp trình Ủy ban nhân dân tỉnh để xem xét, giải quyết.</w:t>
      </w:r>
    </w:p>
    <w:p w:rsidR="00CE20BB" w:rsidRPr="00CE20BB" w:rsidRDefault="00CE20BB" w:rsidP="001D7259">
      <w:pPr>
        <w:widowControl w:val="0"/>
        <w:spacing w:before="60" w:after="60" w:line="28" w:lineRule="atLeast"/>
        <w:ind w:firstLine="737"/>
        <w:jc w:val="both"/>
        <w:rPr>
          <w:b/>
          <w:spacing w:val="2"/>
          <w:lang w:val="nb-NO" w:eastAsia="en-US"/>
        </w:rPr>
      </w:pPr>
      <w:r w:rsidRPr="00CE20BB">
        <w:rPr>
          <w:b/>
          <w:spacing w:val="2"/>
          <w:lang w:val="nb-NO" w:eastAsia="en-US"/>
        </w:rPr>
        <w:t>Điều 5.</w:t>
      </w:r>
      <w:r w:rsidRPr="00CE20BB">
        <w:rPr>
          <w:spacing w:val="2"/>
          <w:lang w:val="nb-NO" w:eastAsia="en-US"/>
        </w:rPr>
        <w:t xml:space="preserve"> Chánh Văn phòng Ủy ban nhân dân tỉnh; Giám đốc các Sở: Lao động – Thương binh và Xã hội, Tài chính, Y tế, Tư Pháp, Kế hoạch và Đầu tư, Công an tỉnh, Chủ tịch Ủy ban nhân dân các huyện, thị xã, thành phố; các đơn vị, tổ chức và cá nhân có liên quan chịu trách nhiệm thi hành Quyết định này./.</w:t>
      </w:r>
    </w:p>
    <w:p w:rsidR="00EA5C2A" w:rsidRDefault="00EA5C2A" w:rsidP="00EA5C2A">
      <w:pPr>
        <w:tabs>
          <w:tab w:val="left" w:pos="1134"/>
        </w:tabs>
        <w:jc w:val="both"/>
        <w:rPr>
          <w:rFonts w:eastAsia="Calibri"/>
          <w:lang w:val="en-US" w:eastAsia="en-US"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8"/>
      </w:tblGrid>
      <w:tr w:rsidR="00EA5C2A" w:rsidTr="000A22C8">
        <w:tc>
          <w:tcPr>
            <w:tcW w:w="4587" w:type="dxa"/>
          </w:tcPr>
          <w:p w:rsidR="00EA5C2A" w:rsidRDefault="00EA5C2A" w:rsidP="000A22C8">
            <w:pPr>
              <w:tabs>
                <w:tab w:val="left" w:pos="1134"/>
              </w:tabs>
              <w:jc w:val="both"/>
              <w:rPr>
                <w:rFonts w:eastAsia="Calibri"/>
                <w:b/>
                <w:i/>
                <w:sz w:val="24"/>
                <w:szCs w:val="24"/>
                <w:lang w:val="en-US" w:eastAsia="en-US" w:bidi="en-US"/>
              </w:rPr>
            </w:pPr>
            <w:r w:rsidRPr="00CC39F2">
              <w:rPr>
                <w:rFonts w:eastAsia="Calibri"/>
                <w:b/>
                <w:i/>
                <w:sz w:val="24"/>
                <w:szCs w:val="24"/>
                <w:lang w:val="en-US" w:eastAsia="en-US" w:bidi="en-US"/>
              </w:rPr>
              <w:t>Nơi nhận:</w:t>
            </w:r>
          </w:p>
          <w:p w:rsidR="00C862D9" w:rsidRDefault="00C862D9" w:rsidP="000A22C8">
            <w:pPr>
              <w:tabs>
                <w:tab w:val="left" w:pos="1134"/>
              </w:tabs>
              <w:jc w:val="both"/>
              <w:rPr>
                <w:rFonts w:eastAsia="Calibri"/>
                <w:sz w:val="22"/>
                <w:szCs w:val="22"/>
                <w:lang w:val="en-US" w:eastAsia="en-US" w:bidi="en-US"/>
              </w:rPr>
            </w:pPr>
            <w:r w:rsidRPr="00E33A64">
              <w:rPr>
                <w:rFonts w:eastAsia="Calibri"/>
                <w:sz w:val="22"/>
                <w:szCs w:val="22"/>
                <w:lang w:val="en-US" w:eastAsia="en-US" w:bidi="en-US"/>
              </w:rPr>
              <w:t>-</w:t>
            </w:r>
            <w:r w:rsidRPr="00C862D9">
              <w:rPr>
                <w:rFonts w:eastAsia="Calibri"/>
                <w:b/>
                <w:i/>
                <w:sz w:val="22"/>
                <w:szCs w:val="22"/>
                <w:lang w:val="en-US" w:eastAsia="en-US" w:bidi="en-US"/>
              </w:rPr>
              <w:t xml:space="preserve"> </w:t>
            </w:r>
            <w:r w:rsidRPr="00C862D9">
              <w:rPr>
                <w:rFonts w:eastAsia="Calibri"/>
                <w:sz w:val="22"/>
                <w:szCs w:val="22"/>
                <w:lang w:val="en-US" w:eastAsia="en-US" w:bidi="en-US"/>
              </w:rPr>
              <w:t xml:space="preserve">Như </w:t>
            </w:r>
            <w:r>
              <w:rPr>
                <w:rFonts w:eastAsia="Calibri"/>
                <w:sz w:val="22"/>
                <w:szCs w:val="22"/>
                <w:lang w:val="en-US" w:eastAsia="en-US" w:bidi="en-US"/>
              </w:rPr>
              <w:t>Điều 5 (để thi hành);</w:t>
            </w:r>
          </w:p>
          <w:p w:rsidR="00EA5C2A" w:rsidRDefault="00EA5C2A" w:rsidP="000A22C8">
            <w:pPr>
              <w:tabs>
                <w:tab w:val="left" w:pos="1134"/>
              </w:tabs>
              <w:jc w:val="both"/>
              <w:rPr>
                <w:rFonts w:eastAsia="Calibri"/>
                <w:sz w:val="22"/>
                <w:szCs w:val="22"/>
                <w:lang w:val="en-US" w:eastAsia="en-US" w:bidi="en-US"/>
              </w:rPr>
            </w:pPr>
            <w:r w:rsidRPr="00C862D9">
              <w:rPr>
                <w:rFonts w:eastAsia="Calibri"/>
                <w:sz w:val="22"/>
                <w:szCs w:val="22"/>
                <w:lang w:val="en-US" w:eastAsia="en-US" w:bidi="en-US"/>
              </w:rPr>
              <w:t>- TT tỉnh ủy, TT. HĐND tỉnh (để b/cáo);</w:t>
            </w:r>
          </w:p>
          <w:p w:rsidR="00EA5C2A" w:rsidRPr="00CC39F2" w:rsidRDefault="00E33A64" w:rsidP="000A22C8">
            <w:pPr>
              <w:tabs>
                <w:tab w:val="left" w:pos="1134"/>
              </w:tabs>
              <w:jc w:val="both"/>
              <w:rPr>
                <w:rFonts w:eastAsia="Calibri"/>
                <w:sz w:val="22"/>
                <w:szCs w:val="22"/>
                <w:lang w:val="en-US" w:eastAsia="en-US" w:bidi="en-US"/>
              </w:rPr>
            </w:pPr>
            <w:r>
              <w:rPr>
                <w:rFonts w:eastAsia="Calibri"/>
                <w:sz w:val="22"/>
                <w:szCs w:val="22"/>
                <w:lang w:val="en-US" w:eastAsia="en-US" w:bidi="en-US"/>
              </w:rPr>
              <w:t>- Lưu: VT, TmN, QP, HPN.</w:t>
            </w:r>
          </w:p>
        </w:tc>
        <w:tc>
          <w:tcPr>
            <w:tcW w:w="4588" w:type="dxa"/>
          </w:tcPr>
          <w:p w:rsidR="00EA5C2A" w:rsidRPr="00CC39F2" w:rsidRDefault="00EA5C2A" w:rsidP="000A22C8">
            <w:pPr>
              <w:tabs>
                <w:tab w:val="left" w:pos="1134"/>
              </w:tabs>
              <w:jc w:val="center"/>
              <w:rPr>
                <w:rFonts w:eastAsia="Calibri"/>
                <w:b/>
                <w:lang w:val="en-US" w:eastAsia="en-US" w:bidi="en-US"/>
              </w:rPr>
            </w:pPr>
            <w:r w:rsidRPr="00CC39F2">
              <w:rPr>
                <w:rFonts w:eastAsia="Calibri"/>
                <w:b/>
                <w:lang w:val="en-US" w:eastAsia="en-US" w:bidi="en-US"/>
              </w:rPr>
              <w:t>TM. ỦY BAN NHÂN DÂN</w:t>
            </w:r>
          </w:p>
          <w:p w:rsidR="00EA5C2A" w:rsidRPr="00CC39F2" w:rsidRDefault="00EA5C2A" w:rsidP="00A7462A">
            <w:pPr>
              <w:tabs>
                <w:tab w:val="left" w:pos="1134"/>
              </w:tabs>
              <w:jc w:val="center"/>
              <w:rPr>
                <w:rFonts w:eastAsia="Calibri"/>
                <w:b/>
                <w:lang w:val="en-US" w:eastAsia="en-US" w:bidi="en-US"/>
              </w:rPr>
            </w:pPr>
            <w:r w:rsidRPr="00CC39F2">
              <w:rPr>
                <w:rFonts w:eastAsia="Calibri"/>
                <w:b/>
                <w:lang w:val="en-US" w:eastAsia="en-US" w:bidi="en-US"/>
              </w:rPr>
              <w:t>CHỦ TỊCH</w:t>
            </w:r>
          </w:p>
          <w:p w:rsidR="00EA5C2A" w:rsidRPr="00CC39F2" w:rsidRDefault="00EA5C2A" w:rsidP="000A22C8">
            <w:pPr>
              <w:tabs>
                <w:tab w:val="left" w:pos="1134"/>
              </w:tabs>
              <w:jc w:val="center"/>
              <w:rPr>
                <w:rFonts w:eastAsia="Calibri"/>
                <w:b/>
                <w:lang w:val="en-US" w:eastAsia="en-US" w:bidi="en-US"/>
              </w:rPr>
            </w:pPr>
          </w:p>
          <w:p w:rsidR="00EA5C2A" w:rsidRPr="00CC39F2" w:rsidRDefault="00EA5C2A" w:rsidP="000A22C8">
            <w:pPr>
              <w:tabs>
                <w:tab w:val="left" w:pos="1134"/>
              </w:tabs>
              <w:jc w:val="center"/>
              <w:rPr>
                <w:rFonts w:eastAsia="Calibri"/>
                <w:b/>
                <w:lang w:val="en-US" w:eastAsia="en-US" w:bidi="en-US"/>
              </w:rPr>
            </w:pPr>
          </w:p>
          <w:p w:rsidR="00EA5C2A" w:rsidRPr="00CC39F2" w:rsidRDefault="00EA5C2A" w:rsidP="000A22C8">
            <w:pPr>
              <w:tabs>
                <w:tab w:val="left" w:pos="1134"/>
              </w:tabs>
              <w:jc w:val="center"/>
              <w:rPr>
                <w:rFonts w:eastAsia="Calibri"/>
                <w:b/>
                <w:lang w:val="en-US" w:eastAsia="en-US" w:bidi="en-US"/>
              </w:rPr>
            </w:pPr>
          </w:p>
          <w:p w:rsidR="00EA5C2A" w:rsidRDefault="00EA5C2A" w:rsidP="000A22C8">
            <w:pPr>
              <w:tabs>
                <w:tab w:val="left" w:pos="1134"/>
              </w:tabs>
              <w:jc w:val="center"/>
              <w:rPr>
                <w:rFonts w:eastAsia="Calibri"/>
                <w:b/>
                <w:lang w:val="en-US" w:eastAsia="en-US" w:bidi="en-US"/>
              </w:rPr>
            </w:pPr>
          </w:p>
          <w:p w:rsidR="001D7259" w:rsidRDefault="001D7259" w:rsidP="000A22C8">
            <w:pPr>
              <w:tabs>
                <w:tab w:val="left" w:pos="1134"/>
              </w:tabs>
              <w:jc w:val="center"/>
              <w:rPr>
                <w:rFonts w:eastAsia="Calibri"/>
                <w:b/>
                <w:lang w:val="en-US" w:eastAsia="en-US" w:bidi="en-US"/>
              </w:rPr>
            </w:pPr>
          </w:p>
          <w:p w:rsidR="00EA5C2A" w:rsidRDefault="00A7462A" w:rsidP="000A22C8">
            <w:pPr>
              <w:tabs>
                <w:tab w:val="left" w:pos="1134"/>
              </w:tabs>
              <w:jc w:val="center"/>
              <w:rPr>
                <w:rFonts w:eastAsia="Calibri"/>
                <w:lang w:val="en-US" w:eastAsia="en-US" w:bidi="en-US"/>
              </w:rPr>
            </w:pPr>
            <w:r>
              <w:rPr>
                <w:rFonts w:eastAsia="Calibri"/>
                <w:b/>
                <w:lang w:val="en-US" w:eastAsia="en-US" w:bidi="en-US"/>
              </w:rPr>
              <w:t>Lê Đức Vinh</w:t>
            </w:r>
          </w:p>
        </w:tc>
      </w:tr>
    </w:tbl>
    <w:p w:rsidR="00EA5C2A" w:rsidRPr="00693B75" w:rsidRDefault="00EA5C2A" w:rsidP="00EA5C2A">
      <w:pPr>
        <w:tabs>
          <w:tab w:val="left" w:pos="1134"/>
        </w:tabs>
        <w:jc w:val="both"/>
        <w:rPr>
          <w:rFonts w:eastAsia="Calibri"/>
          <w:lang w:val="en-US" w:eastAsia="en-US" w:bidi="en-US"/>
        </w:rPr>
      </w:pPr>
    </w:p>
    <w:p w:rsidR="00EA5C2A" w:rsidRPr="00596DD2" w:rsidRDefault="00EA5C2A" w:rsidP="00EA5C2A">
      <w:pPr>
        <w:ind w:firstLine="731"/>
        <w:jc w:val="both"/>
        <w:rPr>
          <w:rFonts w:eastAsia="Calibri"/>
          <w:lang w:val="en-US" w:eastAsia="en-US" w:bidi="en-US"/>
        </w:rPr>
      </w:pPr>
    </w:p>
    <w:p w:rsidR="00EA5C2A" w:rsidRPr="00596DD2" w:rsidRDefault="00EA5C2A" w:rsidP="00EA5C2A">
      <w:pPr>
        <w:ind w:firstLine="731"/>
        <w:jc w:val="both"/>
        <w:rPr>
          <w:rFonts w:eastAsia="Calibri"/>
          <w:lang w:val="en-US" w:eastAsia="en-US" w:bidi="en-US"/>
        </w:rPr>
      </w:pPr>
    </w:p>
    <w:p w:rsidR="00EA5C2A" w:rsidRPr="00843733" w:rsidRDefault="00EA5C2A" w:rsidP="00EA5C2A">
      <w:pPr>
        <w:jc w:val="both"/>
      </w:pPr>
    </w:p>
    <w:p w:rsidR="00EA5C2A" w:rsidRDefault="00EA5C2A" w:rsidP="00EA5C2A"/>
    <w:p w:rsidR="00213B6F" w:rsidRDefault="00213B6F"/>
    <w:sectPr w:rsidR="00213B6F" w:rsidSect="000A5C63">
      <w:footerReference w:type="default" r:id="rId7"/>
      <w:pgSz w:w="11907" w:h="16840" w:code="9"/>
      <w:pgMar w:top="1134" w:right="1021" w:bottom="1134" w:left="1701" w:header="624" w:footer="624" w:gutter="0"/>
      <w:pgNumType w:fmt="numberInDash"/>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BC" w:rsidRDefault="000116BC">
      <w:r>
        <w:separator/>
      </w:r>
    </w:p>
  </w:endnote>
  <w:endnote w:type="continuationSeparator" w:id="0">
    <w:p w:rsidR="000116BC" w:rsidRDefault="0001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619251"/>
      <w:docPartObj>
        <w:docPartGallery w:val="Page Numbers (Bottom of Page)"/>
        <w:docPartUnique/>
      </w:docPartObj>
    </w:sdtPr>
    <w:sdtEndPr>
      <w:rPr>
        <w:noProof/>
      </w:rPr>
    </w:sdtEndPr>
    <w:sdtContent>
      <w:p w:rsidR="000A5C63" w:rsidRDefault="00E33A64">
        <w:pPr>
          <w:pStyle w:val="Footer"/>
          <w:jc w:val="right"/>
        </w:pPr>
        <w:r>
          <w:fldChar w:fldCharType="begin"/>
        </w:r>
        <w:r>
          <w:instrText xml:space="preserve"> PAGE   \* MERGEFORMAT </w:instrText>
        </w:r>
        <w:r>
          <w:fldChar w:fldCharType="separate"/>
        </w:r>
        <w:r w:rsidR="00850AC0">
          <w:rPr>
            <w:noProof/>
          </w:rPr>
          <w:t>- 2 -</w:t>
        </w:r>
        <w:r>
          <w:rPr>
            <w:noProof/>
          </w:rPr>
          <w:fldChar w:fldCharType="end"/>
        </w:r>
      </w:p>
    </w:sdtContent>
  </w:sdt>
  <w:p w:rsidR="000A5C63" w:rsidRDefault="00011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BC" w:rsidRDefault="000116BC">
      <w:r>
        <w:separator/>
      </w:r>
    </w:p>
  </w:footnote>
  <w:footnote w:type="continuationSeparator" w:id="0">
    <w:p w:rsidR="000116BC" w:rsidRDefault="00011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2A"/>
    <w:rsid w:val="000116BC"/>
    <w:rsid w:val="001D7259"/>
    <w:rsid w:val="00213B6F"/>
    <w:rsid w:val="00261CF9"/>
    <w:rsid w:val="002C55AD"/>
    <w:rsid w:val="00364F6E"/>
    <w:rsid w:val="00526913"/>
    <w:rsid w:val="00665257"/>
    <w:rsid w:val="007D3669"/>
    <w:rsid w:val="00850AC0"/>
    <w:rsid w:val="00877153"/>
    <w:rsid w:val="009E4E02"/>
    <w:rsid w:val="00A67BFB"/>
    <w:rsid w:val="00A7462A"/>
    <w:rsid w:val="00B75860"/>
    <w:rsid w:val="00C35B0E"/>
    <w:rsid w:val="00C862D9"/>
    <w:rsid w:val="00CD1AFC"/>
    <w:rsid w:val="00CE20BB"/>
    <w:rsid w:val="00CF220A"/>
    <w:rsid w:val="00D25742"/>
    <w:rsid w:val="00E33A64"/>
    <w:rsid w:val="00EA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2A"/>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C2A"/>
    <w:pPr>
      <w:tabs>
        <w:tab w:val="center" w:pos="4680"/>
        <w:tab w:val="right" w:pos="9360"/>
      </w:tabs>
    </w:pPr>
  </w:style>
  <w:style w:type="character" w:customStyle="1" w:styleId="FooterChar">
    <w:name w:val="Footer Char"/>
    <w:basedOn w:val="DefaultParagraphFont"/>
    <w:link w:val="Footer"/>
    <w:uiPriority w:val="99"/>
    <w:rsid w:val="00EA5C2A"/>
    <w:rPr>
      <w:rFonts w:eastAsia="Times New Roman" w:cs="Times New Roman"/>
      <w:sz w:val="28"/>
      <w:szCs w:val="28"/>
      <w:lang w:val="en-GB" w:eastAsia="en-GB"/>
    </w:rPr>
  </w:style>
  <w:style w:type="table" w:styleId="TableGrid">
    <w:name w:val="Table Grid"/>
    <w:basedOn w:val="TableNormal"/>
    <w:uiPriority w:val="59"/>
    <w:rsid w:val="00EA5C2A"/>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2A"/>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C2A"/>
    <w:pPr>
      <w:tabs>
        <w:tab w:val="center" w:pos="4680"/>
        <w:tab w:val="right" w:pos="9360"/>
      </w:tabs>
    </w:pPr>
  </w:style>
  <w:style w:type="character" w:customStyle="1" w:styleId="FooterChar">
    <w:name w:val="Footer Char"/>
    <w:basedOn w:val="DefaultParagraphFont"/>
    <w:link w:val="Footer"/>
    <w:uiPriority w:val="99"/>
    <w:rsid w:val="00EA5C2A"/>
    <w:rPr>
      <w:rFonts w:eastAsia="Times New Roman" w:cs="Times New Roman"/>
      <w:sz w:val="28"/>
      <w:szCs w:val="28"/>
      <w:lang w:val="en-GB" w:eastAsia="en-GB"/>
    </w:rPr>
  </w:style>
  <w:style w:type="table" w:styleId="TableGrid">
    <w:name w:val="Table Grid"/>
    <w:basedOn w:val="TableNormal"/>
    <w:uiPriority w:val="59"/>
    <w:rsid w:val="00EA5C2A"/>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7</cp:revision>
  <cp:lastPrinted>2019-07-11T01:54:00Z</cp:lastPrinted>
  <dcterms:created xsi:type="dcterms:W3CDTF">2019-05-06T01:39:00Z</dcterms:created>
  <dcterms:modified xsi:type="dcterms:W3CDTF">2019-07-11T01:56:00Z</dcterms:modified>
</cp:coreProperties>
</file>